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F367F" w14:textId="77777777" w:rsidR="006816B9" w:rsidRPr="006816B9" w:rsidRDefault="006816B9" w:rsidP="006816B9">
      <w:pPr>
        <w:shd w:val="clear" w:color="auto" w:fill="FFFFFF"/>
        <w:rPr>
          <w:rFonts w:ascii="Helvetica" w:eastAsia="Times New Roman" w:hAnsi="Helvetica" w:cs="Helvetica"/>
          <w:color w:val="2D3B45"/>
          <w:sz w:val="24"/>
          <w:szCs w:val="24"/>
        </w:rPr>
      </w:pPr>
      <w:r>
        <w:t xml:space="preserve">26) </w:t>
      </w: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Two decades after the Supreme Court </w:t>
      </w:r>
      <w:r w:rsidRPr="006816B9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Brown v. Board of Education</w:t>
      </w: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 decision found segregated schools unconstitutional, many, perhaps most, schools were still racially segregated and highly unequal. What desegregation plan sparked riots in Boston, MA in the 1970s?</w:t>
      </w:r>
    </w:p>
    <w:p w14:paraId="39EA7A48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361F551" w14:textId="78F28D70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01591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9.5pt;height:16.5pt" o:ole="">
            <v:imagedata r:id="rId4" o:title=""/>
          </v:shape>
          <w:control r:id="rId5" w:name="DefaultOcxName" w:shapeid="_x0000_i1036"/>
        </w:object>
      </w:r>
    </w:p>
    <w:p w14:paraId="100D2A7A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Busing</w:t>
      </w:r>
    </w:p>
    <w:p w14:paraId="64233C25" w14:textId="10F40618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676AF7E">
          <v:shape id="_x0000_i1035" type="#_x0000_t75" style="width:19.5pt;height:16.5pt" o:ole="">
            <v:imagedata r:id="rId4" o:title=""/>
          </v:shape>
          <w:control r:id="rId6" w:name="DefaultOcxName1" w:shapeid="_x0000_i1035"/>
        </w:object>
      </w:r>
    </w:p>
    <w:p w14:paraId="36C74FA1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Regional School Districts</w:t>
      </w:r>
    </w:p>
    <w:p w14:paraId="17469474" w14:textId="4E960931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23767A4">
          <v:shape id="_x0000_i1034" type="#_x0000_t75" style="width:19.5pt;height:16.5pt" o:ole="">
            <v:imagedata r:id="rId4" o:title=""/>
          </v:shape>
          <w:control r:id="rId7" w:name="DefaultOcxName2" w:shapeid="_x0000_i1034"/>
        </w:object>
      </w:r>
    </w:p>
    <w:p w14:paraId="09B9EC21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Vouchers for Private Schools</w:t>
      </w:r>
    </w:p>
    <w:p w14:paraId="3CA45421" w14:textId="3B7666AE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28FC396">
          <v:shape id="_x0000_i1033" type="#_x0000_t75" style="width:19.5pt;height:16.5pt" o:ole="">
            <v:imagedata r:id="rId4" o:title=""/>
          </v:shape>
          <w:control r:id="rId8" w:name="DefaultOcxName3" w:shapeid="_x0000_i1033"/>
        </w:object>
      </w:r>
    </w:p>
    <w:p w14:paraId="073C3AED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Magnet Schools</w:t>
      </w:r>
    </w:p>
    <w:p w14:paraId="33C1C1E4" w14:textId="0C29032B" w:rsidR="00C44745" w:rsidRDefault="00C44745"/>
    <w:p w14:paraId="1C6B374E" w14:textId="58356508" w:rsidR="006816B9" w:rsidRDefault="006816B9"/>
    <w:p w14:paraId="1371B881" w14:textId="0CBFE31D" w:rsidR="006816B9" w:rsidRDefault="006816B9"/>
    <w:p w14:paraId="3878967E" w14:textId="05323A24" w:rsidR="006816B9" w:rsidRDefault="006816B9"/>
    <w:p w14:paraId="4FBCFF0C" w14:textId="77777777" w:rsidR="006816B9" w:rsidRPr="006816B9" w:rsidRDefault="006816B9" w:rsidP="006816B9">
      <w:pPr>
        <w:shd w:val="clear" w:color="auto" w:fill="FFFFFF"/>
        <w:rPr>
          <w:rFonts w:ascii="Helvetica" w:eastAsia="Times New Roman" w:hAnsi="Helvetica" w:cs="Helvetica"/>
          <w:color w:val="2D3B45"/>
          <w:sz w:val="24"/>
          <w:szCs w:val="24"/>
        </w:rPr>
      </w:pPr>
      <w:r>
        <w:t xml:space="preserve">27) </w:t>
      </w: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In the context of a segregated school system, the “freedom” to send one’s kids to the school of a parent’s choosing ___________</w:t>
      </w:r>
    </w:p>
    <w:p w14:paraId="20914E85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017E1205" w14:textId="3B2B31B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8BBD4A0">
          <v:shape id="_x0000_i1048" type="#_x0000_t75" style="width:19.5pt;height:16.5pt" o:ole="">
            <v:imagedata r:id="rId4" o:title=""/>
          </v:shape>
          <w:control r:id="rId9" w:name="DefaultOcxName4" w:shapeid="_x0000_i1048"/>
        </w:object>
      </w:r>
    </w:p>
    <w:p w14:paraId="5C860B27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Is part of an essential liberty, enshrined in the US Constitution, that leaves all education decisions to parents</w:t>
      </w:r>
    </w:p>
    <w:p w14:paraId="1D66BFFF" w14:textId="454335C4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8D8F46B">
          <v:shape id="_x0000_i1047" type="#_x0000_t75" style="width:19.5pt;height:16.5pt" o:ole="">
            <v:imagedata r:id="rId4" o:title=""/>
          </v:shape>
          <w:control r:id="rId10" w:name="DefaultOcxName11" w:shapeid="_x0000_i1047"/>
        </w:object>
      </w:r>
    </w:p>
    <w:p w14:paraId="09E05D00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Tends to create a more integrated school system than government enforced desegregation</w:t>
      </w:r>
    </w:p>
    <w:p w14:paraId="7F5C87C9" w14:textId="06CE7852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625874E">
          <v:shape id="_x0000_i1046" type="#_x0000_t75" style="width:19.5pt;height:16.5pt" o:ole="">
            <v:imagedata r:id="rId4" o:title=""/>
          </v:shape>
          <w:control r:id="rId11" w:name="DefaultOcxName21" w:shapeid="_x0000_i1046"/>
        </w:object>
      </w:r>
    </w:p>
    <w:p w14:paraId="1BD23277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 xml:space="preserve">Was the essential demand of black civil rights activists in the 1960s and </w:t>
      </w:r>
      <w:proofErr w:type="gramStart"/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1970s</w:t>
      </w:r>
      <w:proofErr w:type="gramEnd"/>
    </w:p>
    <w:p w14:paraId="69E6D03A" w14:textId="19A64D26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8C4C4C2">
          <v:shape id="_x0000_i1045" type="#_x0000_t75" style="width:19.5pt;height:16.5pt" o:ole="">
            <v:imagedata r:id="rId4" o:title=""/>
          </v:shape>
          <w:control r:id="rId12" w:name="DefaultOcxName31" w:shapeid="_x0000_i1045"/>
        </w:object>
      </w:r>
    </w:p>
    <w:p w14:paraId="56CF2878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Is a form of consumer rights often at odds with civil rights goals of education</w:t>
      </w:r>
    </w:p>
    <w:p w14:paraId="72ED2CCD" w14:textId="031F10DA" w:rsidR="006816B9" w:rsidRDefault="006816B9"/>
    <w:p w14:paraId="59D626BA" w14:textId="07989BDF" w:rsidR="006816B9" w:rsidRDefault="006816B9"/>
    <w:p w14:paraId="04A06C84" w14:textId="196FC7C4" w:rsidR="006816B9" w:rsidRDefault="006816B9"/>
    <w:p w14:paraId="704F6C70" w14:textId="31FFF468" w:rsidR="006816B9" w:rsidRDefault="006816B9"/>
    <w:p w14:paraId="43500D07" w14:textId="711097D0" w:rsidR="006816B9" w:rsidRDefault="006816B9"/>
    <w:p w14:paraId="249CF156" w14:textId="33E343F0" w:rsidR="006816B9" w:rsidRDefault="006816B9"/>
    <w:p w14:paraId="30B223E8" w14:textId="3D184D54" w:rsidR="006816B9" w:rsidRDefault="006816B9"/>
    <w:p w14:paraId="130B650A" w14:textId="77777777" w:rsidR="006816B9" w:rsidRPr="006816B9" w:rsidRDefault="006816B9" w:rsidP="006816B9">
      <w:pPr>
        <w:shd w:val="clear" w:color="auto" w:fill="FFFFFF"/>
        <w:rPr>
          <w:rFonts w:ascii="Helvetica" w:eastAsia="Times New Roman" w:hAnsi="Helvetica" w:cs="Helvetica"/>
          <w:color w:val="2D3B45"/>
          <w:sz w:val="24"/>
          <w:szCs w:val="24"/>
        </w:rPr>
      </w:pPr>
      <w:r>
        <w:lastRenderedPageBreak/>
        <w:t xml:space="preserve">28) </w:t>
      </w: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The immediate outcome of the Boston riots was ___________</w:t>
      </w:r>
    </w:p>
    <w:p w14:paraId="372FEB27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445D0BB0" w14:textId="5668210D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1532483">
          <v:shape id="_x0000_i1060" type="#_x0000_t75" style="width:19.5pt;height:16.5pt" o:ole="">
            <v:imagedata r:id="rId4" o:title=""/>
          </v:shape>
          <w:control r:id="rId13" w:name="DefaultOcxName5" w:shapeid="_x0000_i1060"/>
        </w:object>
      </w:r>
    </w:p>
    <w:p w14:paraId="40963495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A successful integration program in Boston</w:t>
      </w:r>
    </w:p>
    <w:p w14:paraId="5D6C0335" w14:textId="7D4C3F0C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DAC6877">
          <v:shape id="_x0000_i1059" type="#_x0000_t75" style="width:19.5pt;height:16.5pt" o:ole="">
            <v:imagedata r:id="rId4" o:title=""/>
          </v:shape>
          <w:control r:id="rId14" w:name="DefaultOcxName12" w:shapeid="_x0000_i1059"/>
        </w:object>
      </w:r>
    </w:p>
    <w:p w14:paraId="13C3E23F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The de-industrialization of Boston as businesses lost faith in the education system</w:t>
      </w:r>
    </w:p>
    <w:p w14:paraId="5CCB4421" w14:textId="30E83DC6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A308F63">
          <v:shape id="_x0000_i1058" type="#_x0000_t75" style="width:19.5pt;height:16.5pt" o:ole="">
            <v:imagedata r:id="rId4" o:title=""/>
          </v:shape>
          <w:control r:id="rId15" w:name="DefaultOcxName22" w:shapeid="_x0000_i1058"/>
        </w:object>
      </w:r>
    </w:p>
    <w:p w14:paraId="7D019D7F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The end of all desegregation attempts in the US</w:t>
      </w:r>
    </w:p>
    <w:p w14:paraId="4204067A" w14:textId="0F4B79A2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3F96E5C">
          <v:shape id="_x0000_i1057" type="#_x0000_t75" style="width:19.5pt;height:16.5pt" o:ole="">
            <v:imagedata r:id="rId4" o:title=""/>
          </v:shape>
          <w:control r:id="rId16" w:name="DefaultOcxName32" w:shapeid="_x0000_i1057"/>
        </w:object>
      </w:r>
    </w:p>
    <w:p w14:paraId="2F793B2E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A growing backlash against continuing desegregation programs across the country</w:t>
      </w:r>
    </w:p>
    <w:p w14:paraId="1BEC5870" w14:textId="73C8DC97" w:rsidR="006816B9" w:rsidRDefault="006816B9"/>
    <w:p w14:paraId="7BC38A22" w14:textId="17972F2B" w:rsidR="006816B9" w:rsidRDefault="006816B9"/>
    <w:p w14:paraId="1DF93EFE" w14:textId="7DF25CDA" w:rsidR="006816B9" w:rsidRDefault="006816B9"/>
    <w:p w14:paraId="32DC9E50" w14:textId="77777777" w:rsidR="006816B9" w:rsidRPr="006816B9" w:rsidRDefault="006816B9" w:rsidP="006816B9">
      <w:pPr>
        <w:shd w:val="clear" w:color="auto" w:fill="FFFFFF"/>
        <w:rPr>
          <w:rFonts w:ascii="Helvetica" w:eastAsia="Times New Roman" w:hAnsi="Helvetica" w:cs="Helvetica"/>
          <w:color w:val="2D3B45"/>
          <w:sz w:val="24"/>
          <w:szCs w:val="24"/>
        </w:rPr>
      </w:pPr>
      <w:r>
        <w:t xml:space="preserve">29) </w:t>
      </w: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According to Furstenberg Jr. et al., young people today _______</w:t>
      </w:r>
    </w:p>
    <w:p w14:paraId="54B2418C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5897392" w14:textId="68FFFFA0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91C03B7">
          <v:shape id="_x0000_i1072" type="#_x0000_t75" style="width:19.5pt;height:16.5pt" o:ole="">
            <v:imagedata r:id="rId4" o:title=""/>
          </v:shape>
          <w:control r:id="rId17" w:name="DefaultOcxName6" w:shapeid="_x0000_i1072"/>
        </w:object>
      </w:r>
    </w:p>
    <w:p w14:paraId="15238E78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Get married and have children sooner than their parents but reach the other markers of adulthood (like financial independence) more slowly</w:t>
      </w:r>
    </w:p>
    <w:p w14:paraId="101D50B0" w14:textId="0185D2FB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2C780D5">
          <v:shape id="_x0000_i1071" type="#_x0000_t75" style="width:19.5pt;height:16.5pt" o:ole="">
            <v:imagedata r:id="rId4" o:title=""/>
          </v:shape>
          <w:control r:id="rId18" w:name="DefaultOcxName13" w:shapeid="_x0000_i1071"/>
        </w:object>
      </w:r>
    </w:p>
    <w:p w14:paraId="4FAD212A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Reach the traditional markers of adulthood slower than their parents</w:t>
      </w:r>
    </w:p>
    <w:p w14:paraId="3FDE2F0F" w14:textId="1A6EA674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AA66728">
          <v:shape id="_x0000_i1070" type="#_x0000_t75" style="width:19.5pt;height:16.5pt" o:ole="">
            <v:imagedata r:id="rId4" o:title=""/>
          </v:shape>
          <w:control r:id="rId19" w:name="DefaultOcxName23" w:shapeid="_x0000_i1070"/>
        </w:object>
      </w:r>
    </w:p>
    <w:p w14:paraId="49C03461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Reach the traditional markers of adulthood faster than their parents</w:t>
      </w:r>
    </w:p>
    <w:p w14:paraId="6DA65696" w14:textId="3F64FD3A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CD06C6F">
          <v:shape id="_x0000_i1069" type="#_x0000_t75" style="width:19.5pt;height:16.5pt" o:ole="">
            <v:imagedata r:id="rId4" o:title=""/>
          </v:shape>
          <w:control r:id="rId20" w:name="DefaultOcxName33" w:shapeid="_x0000_i1069"/>
        </w:object>
      </w:r>
    </w:p>
    <w:p w14:paraId="2154A12B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Become financially independent faster than their parents but have children and get married later in life</w:t>
      </w:r>
    </w:p>
    <w:p w14:paraId="55E11B71" w14:textId="3FFE8E9B" w:rsidR="006816B9" w:rsidRDefault="006816B9"/>
    <w:p w14:paraId="23B19AA4" w14:textId="6F86403F" w:rsidR="006816B9" w:rsidRDefault="006816B9"/>
    <w:p w14:paraId="0C5B9359" w14:textId="30306485" w:rsidR="006816B9" w:rsidRDefault="006816B9"/>
    <w:p w14:paraId="69EA702A" w14:textId="77777777" w:rsidR="006816B9" w:rsidRPr="006816B9" w:rsidRDefault="006816B9" w:rsidP="006816B9">
      <w:pPr>
        <w:shd w:val="clear" w:color="auto" w:fill="FFFFFF"/>
        <w:rPr>
          <w:rFonts w:ascii="Helvetica" w:eastAsia="Times New Roman" w:hAnsi="Helvetica" w:cs="Helvetica"/>
          <w:color w:val="2D3B45"/>
          <w:sz w:val="24"/>
          <w:szCs w:val="24"/>
        </w:rPr>
      </w:pPr>
      <w:r>
        <w:t xml:space="preserve">30) </w:t>
      </w: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What is the main cause of the rising debt in America over the last 30 years?</w:t>
      </w:r>
    </w:p>
    <w:p w14:paraId="61DDE86D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192A9064" w14:textId="0E25CE39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4186D87">
          <v:shape id="_x0000_i1084" type="#_x0000_t75" style="width:19.5pt;height:16.5pt" o:ole="">
            <v:imagedata r:id="rId4" o:title=""/>
          </v:shape>
          <w:control r:id="rId21" w:name="DefaultOcxName7" w:shapeid="_x0000_i1084"/>
        </w:object>
      </w:r>
    </w:p>
    <w:p w14:paraId="10F20A4C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The population of the United States continues to increase</w:t>
      </w:r>
    </w:p>
    <w:p w14:paraId="3081C167" w14:textId="72CB74E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82EA1BF">
          <v:shape id="_x0000_i1083" type="#_x0000_t75" style="width:19.5pt;height:16.5pt" o:ole="">
            <v:imagedata r:id="rId4" o:title=""/>
          </v:shape>
          <w:control r:id="rId22" w:name="DefaultOcxName14" w:shapeid="_x0000_i1083"/>
        </w:object>
      </w:r>
    </w:p>
    <w:p w14:paraId="7CE5644E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Spending on luxury items has dramatically increased</w:t>
      </w:r>
    </w:p>
    <w:p w14:paraId="07460704" w14:textId="3B7A972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FFFDDBA">
          <v:shape id="_x0000_i1082" type="#_x0000_t75" style="width:19.5pt;height:16.5pt" o:ole="">
            <v:imagedata r:id="rId4" o:title=""/>
          </v:shape>
          <w:control r:id="rId23" w:name="DefaultOcxName24" w:shapeid="_x0000_i1082"/>
        </w:object>
      </w:r>
    </w:p>
    <w:p w14:paraId="2487CF8A" w14:textId="77777777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The cost of education, health care, and housing have increased</w:t>
      </w:r>
    </w:p>
    <w:p w14:paraId="0931A59F" w14:textId="43BC7EA2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5E9EB08">
          <v:shape id="_x0000_i1081" type="#_x0000_t75" style="width:19.5pt;height:16.5pt" o:ole="">
            <v:imagedata r:id="rId4" o:title=""/>
          </v:shape>
          <w:control r:id="rId24" w:name="DefaultOcxName34" w:shapeid="_x0000_i1081"/>
        </w:object>
      </w:r>
    </w:p>
    <w:p w14:paraId="4B8D1C15" w14:textId="5B651C6D" w:rsidR="006816B9" w:rsidRPr="006816B9" w:rsidRDefault="006816B9" w:rsidP="00681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16B9">
        <w:rPr>
          <w:rFonts w:ascii="Helvetica" w:eastAsia="Times New Roman" w:hAnsi="Helvetica" w:cs="Helvetica"/>
          <w:color w:val="2D3B45"/>
          <w:sz w:val="24"/>
          <w:szCs w:val="24"/>
        </w:rPr>
        <w:t>Taxes rates have increased</w:t>
      </w:r>
    </w:p>
    <w:sectPr w:rsidR="006816B9" w:rsidRPr="00681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6B9"/>
    <w:rsid w:val="006816B9"/>
    <w:rsid w:val="00C4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4940B"/>
  <w15:chartTrackingRefBased/>
  <w15:docId w15:val="{43918FE5-EFF4-491D-A371-647B9F46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nswerinput">
    <w:name w:val="answer_input"/>
    <w:basedOn w:val="DefaultParagraphFont"/>
    <w:rsid w:val="00681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3336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9997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9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19219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1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66158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0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9082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04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181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7845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32558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377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3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0099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5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299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0748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13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67261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95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79282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3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7300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792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1185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1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4462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23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19111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4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4711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51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3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30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422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8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04877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8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00046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2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23381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ontrol" Target="activeX/activeX17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Jones</dc:creator>
  <cp:keywords/>
  <dc:description/>
  <cp:lastModifiedBy>Robert Jones</cp:lastModifiedBy>
  <cp:revision>1</cp:revision>
  <dcterms:created xsi:type="dcterms:W3CDTF">2020-05-09T17:22:00Z</dcterms:created>
  <dcterms:modified xsi:type="dcterms:W3CDTF">2020-05-09T17:23:00Z</dcterms:modified>
</cp:coreProperties>
</file>